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39" w:rsidRDefault="00437639" w:rsidP="004376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0A9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="006713CC">
        <w:rPr>
          <w:rFonts w:ascii="Times New Roman" w:hAnsi="Times New Roman"/>
          <w:b/>
          <w:sz w:val="24"/>
          <w:szCs w:val="24"/>
        </w:rPr>
        <w:t xml:space="preserve">элективного </w:t>
      </w:r>
      <w:r>
        <w:rPr>
          <w:rFonts w:ascii="Times New Roman" w:hAnsi="Times New Roman"/>
          <w:b/>
          <w:sz w:val="24"/>
          <w:szCs w:val="24"/>
        </w:rPr>
        <w:t>курса</w:t>
      </w:r>
    </w:p>
    <w:p w:rsidR="00437639" w:rsidRPr="000740A9" w:rsidRDefault="00437639" w:rsidP="004376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0A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Роль географии в познании мира</w:t>
      </w:r>
      <w:r w:rsidRPr="000740A9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для 11 класс</w:t>
      </w:r>
      <w:r w:rsidR="006713CC">
        <w:rPr>
          <w:rFonts w:ascii="Times New Roman" w:hAnsi="Times New Roman"/>
          <w:b/>
          <w:sz w:val="24"/>
          <w:szCs w:val="24"/>
        </w:rPr>
        <w:t>а</w:t>
      </w:r>
    </w:p>
    <w:p w:rsidR="00437639" w:rsidRDefault="00437639" w:rsidP="00437639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437639" w:rsidRDefault="00437639" w:rsidP="004376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Содержание обучения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 V</w:t>
      </w:r>
      <w:r w:rsidRPr="009846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32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городов 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Урбанизация как мировой процесс. Взаимосвязь урба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низации и уровня социально-экономического развития страны. Границы и пределы роста города.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городов в системе расселения. Системы рас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селения и их регулирование. Город и окружающая среда.</w:t>
      </w:r>
    </w:p>
    <w:p w:rsidR="00437639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Экономическая структура и </w:t>
      </w:r>
      <w:proofErr w:type="spellStart"/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микрогеография</w:t>
      </w:r>
      <w:proofErr w:type="spellEnd"/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города. Рынок городских земель.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 VI</w:t>
      </w:r>
      <w:r w:rsidRPr="009846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32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мирового хозяйства 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и отраслевая структура мировой эко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номики. Динамика размещения хозяйства в историче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ском аспекте.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Оптимальная территориальная структура: концепция поляризованного ландшафта.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сельского хозяйства, промышленности и сферы услуг. Модели размещения отраслей национально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хозяйства.</w:t>
      </w:r>
    </w:p>
    <w:p w:rsidR="00437639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разделение труда. Экономическая ин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теграция.</w:t>
      </w:r>
    </w:p>
    <w:p w:rsidR="00437639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Раздел VII</w:t>
      </w:r>
      <w:r w:rsidRPr="009846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32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Территориальные закономерности экономического и политического развития 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Районирование и административно-территориальное деление. Географические границы.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электоральной географии. Нарезка округов для голосования.</w:t>
      </w:r>
    </w:p>
    <w:p w:rsidR="00437639" w:rsidRPr="00F329D0" w:rsidRDefault="00437639" w:rsidP="004376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Региональное неравенство. Пространственные зако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номерности экономического развития. Типы экономиче</w:t>
      </w:r>
      <w:r w:rsidRPr="00F329D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районов.</w:t>
      </w:r>
    </w:p>
    <w:p w:rsidR="00437639" w:rsidRDefault="00437639" w:rsidP="00437639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437639" w:rsidRPr="000740A9" w:rsidRDefault="00437639" w:rsidP="00437639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437639" w:rsidRPr="000740A9" w:rsidRDefault="00437639" w:rsidP="001168F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Hlk25174963"/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0740A9">
        <w:rPr>
          <w:rFonts w:ascii="Times New Roman" w:hAnsi="Times New Roman"/>
          <w:b/>
          <w:sz w:val="24"/>
          <w:szCs w:val="24"/>
          <w:lang w:eastAsia="ru-RU"/>
        </w:rPr>
        <w:t xml:space="preserve">. Планируемые результаты освоения </w:t>
      </w:r>
      <w:r>
        <w:rPr>
          <w:rFonts w:ascii="Times New Roman" w:hAnsi="Times New Roman"/>
          <w:b/>
          <w:sz w:val="24"/>
          <w:szCs w:val="24"/>
          <w:lang w:eastAsia="ru-RU"/>
        </w:rPr>
        <w:t>курса</w:t>
      </w:r>
    </w:p>
    <w:p w:rsidR="00437639" w:rsidRPr="000740A9" w:rsidRDefault="00437639" w:rsidP="00437639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eastAsia="ru-RU"/>
        </w:rPr>
      </w:pPr>
    </w:p>
    <w:bookmarkEnd w:id="0"/>
    <w:p w:rsidR="00437639" w:rsidRDefault="00437639" w:rsidP="00437639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0740A9">
        <w:rPr>
          <w:rFonts w:ascii="Times New Roman" w:hAnsi="Times New Roman"/>
          <w:b/>
          <w:sz w:val="24"/>
          <w:szCs w:val="24"/>
          <w:lang w:eastAsia="ru-RU"/>
        </w:rPr>
        <w:t>.1. Личностные планируемые результаты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proofErr w:type="gramStart"/>
      <w:r w:rsidRPr="001168F8">
        <w:rPr>
          <w:rFonts w:ascii="Times New Roman" w:eastAsia="Calibri" w:hAnsi="Times New Roman"/>
          <w:kern w:val="28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сформированность уважения государственных символов (герб, флаг, гимн)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 </w:t>
      </w:r>
      <w:proofErr w:type="gramEnd"/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 xml:space="preserve">Обладание чувством собственного достоинства 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 xml:space="preserve">Принятие традиционных национальных и общечеловеческих гуманистических и демократических ценностей 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Готовность к служению Отечеству, его защите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proofErr w:type="gramStart"/>
      <w:r w:rsidRPr="001168F8">
        <w:rPr>
          <w:rFonts w:ascii="Times New Roman" w:eastAsia="Calibri" w:hAnsi="Times New Roman"/>
          <w:kern w:val="28"/>
          <w:sz w:val="24"/>
          <w:szCs w:val="24"/>
        </w:rPr>
        <w:t xml:space="preserve">Сформированность осознанного выбора будущей профессии, </w:t>
      </w:r>
      <w:r w:rsidRPr="001168F8">
        <w:rPr>
          <w:rFonts w:ascii="Times New Roman" w:eastAsia="Calibri" w:hAnsi="Times New Roman"/>
          <w:b/>
          <w:kern w:val="28"/>
          <w:sz w:val="24"/>
          <w:szCs w:val="24"/>
        </w:rPr>
        <w:t xml:space="preserve">в том числе с учетом потребностей региона, </w:t>
      </w:r>
      <w:r w:rsidRPr="001168F8">
        <w:rPr>
          <w:rFonts w:ascii="Times New Roman" w:eastAsia="Calibri" w:hAnsi="Times New Roman"/>
          <w:kern w:val="28"/>
          <w:sz w:val="24"/>
          <w:szCs w:val="24"/>
        </w:rPr>
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</w:r>
      <w:proofErr w:type="gramEnd"/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Готовность и способность к самостоятельной, творческой и ответственной деятельности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lastRenderedPageBreak/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способности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Принятие и реализация ценностей здорового и безопасного образа жизни, наличие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Готовность и способность к образованию, в том числе самообразованию, на протяжении всей жизни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сознательного отношения к непрерывному образованию как условию успешной профессиональной и общественной деятельности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нравственного сознания и поведения на основе усвоения общечеловеческих ценностей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eastAsia="Calibri" w:hAnsi="Times New Roman"/>
          <w:kern w:val="28"/>
          <w:sz w:val="24"/>
          <w:szCs w:val="24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ответственного отношения к созданию семьи на основе осознанного принятия ценностей семейной жизни</w:t>
      </w:r>
    </w:p>
    <w:p w:rsidR="001168F8" w:rsidRPr="001168F8" w:rsidRDefault="001168F8" w:rsidP="001168F8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68F8">
        <w:rPr>
          <w:rFonts w:ascii="Times New Roman" w:eastAsia="Calibri" w:hAnsi="Times New Roman"/>
          <w:kern w:val="28"/>
          <w:sz w:val="24"/>
          <w:szCs w:val="24"/>
        </w:rPr>
        <w:t>Сформированность эстетического отношения к миру, включая эстетику быта, научного и технического творчества, спорта, общественных отношений</w:t>
      </w:r>
    </w:p>
    <w:p w:rsidR="00437639" w:rsidRPr="000740A9" w:rsidRDefault="00437639" w:rsidP="00437639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lang w:eastAsia="ru-RU"/>
        </w:rPr>
      </w:pPr>
    </w:p>
    <w:p w:rsidR="00437639" w:rsidRPr="000740A9" w:rsidRDefault="00437639" w:rsidP="00437639">
      <w:pPr>
        <w:spacing w:after="0" w:line="240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0740A9">
        <w:rPr>
          <w:rFonts w:ascii="Times New Roman" w:hAnsi="Times New Roman"/>
          <w:b/>
          <w:sz w:val="24"/>
          <w:szCs w:val="24"/>
        </w:rPr>
        <w:t>.2. Метапредметные планируемые результаты</w:t>
      </w:r>
    </w:p>
    <w:p w:rsidR="00437639" w:rsidRPr="000740A9" w:rsidRDefault="00437639" w:rsidP="00437639">
      <w:pPr>
        <w:spacing w:after="0" w:line="240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6"/>
        <w:gridCol w:w="7993"/>
      </w:tblGrid>
      <w:tr w:rsidR="00437639" w:rsidRPr="000740A9" w:rsidTr="009D10CC">
        <w:trPr>
          <w:trHeight w:val="20"/>
          <w:tblHeader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Метапредметные планируемые </w:t>
            </w:r>
          </w:p>
          <w:p w:rsidR="00437639" w:rsidRPr="000740A9" w:rsidRDefault="00437639" w:rsidP="009D10C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437639" w:rsidRPr="000740A9" w:rsidTr="009D10CC">
        <w:trPr>
          <w:trHeight w:val="20"/>
        </w:trPr>
        <w:tc>
          <w:tcPr>
            <w:tcW w:w="98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1.2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тавить и формулировать собственные задачи в образовательной деятельности и жизненных ситуациях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Планирование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2.1</w:t>
            </w:r>
            <w:proofErr w:type="gramStart"/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 В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.2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 Самостоятельно составлять планы деятельности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2.3</w:t>
            </w:r>
            <w:proofErr w:type="gramStart"/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 И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спользовать все возможные ресурсы для достижения поставленных целей и реализации планов деятельности 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2.4</w:t>
            </w:r>
            <w:proofErr w:type="gramStart"/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 В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ыбирать успешные стратегии в различных ситуациях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3.1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ценивать ресурсы, в том числе время и другие нематериальные ресурсы, необходимые для достижения поставленной цели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3.2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рганизовывать эффективный поиск ресурсов, необходимых для достижения поставленной цели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3.3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 xml:space="preserve">ценивать возможные последствия достижения поставленной цели в деятельности, собственной жизни и жизни окружающих людей,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основываясь на соображениях этики и морали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4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4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0740A9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С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амостоятельно осуществлять, контролировать и корректировать деятельность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Оценка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5.1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опоставлять полученный результат деятельности с поставленной заранее целью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6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6.1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7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7</w:t>
            </w:r>
            <w:proofErr w:type="gramEnd"/>
            <w:r w:rsidRPr="000740A9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437639" w:rsidRPr="000740A9" w:rsidTr="009D10CC">
        <w:trPr>
          <w:trHeight w:val="20"/>
        </w:trPr>
        <w:tc>
          <w:tcPr>
            <w:tcW w:w="98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скать и находить обобщенные способы решения задач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8.2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ладеть навыками разрешения проблем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8.3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существлять самостоятельный поиск методов решения практических задач, применять различные методы познания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8.4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ешать задачи, находящиеся на стыке нескольких учебных дисциплин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8.5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спользовать основной алгоритм исследования при решении своих учебно-познавательных задач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8.6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8.7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8.8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енять и удерживать разные позиции в познавательной деятельности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8.9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8.10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ладеть навыками учебно-исследовательской и проектной деятельности, а именно: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 xml:space="preserve">ставить цели и/или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формулировать гипотезу исследования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, исходя из культурной нормы и сообразуясь с представлениями об общем благе;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8.11.2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8.11.3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планировать работу;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8.11.4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осуществлять отбор и интерпретацию необходимой информации;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8.11.5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8.11.6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структурировать и аргументировать результаты исследования на основе собранных данных;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8.11.7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8.11.8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8.11.9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осуществлять презентацию результатов;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8.11.10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8.11.11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8.11.12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8.11.13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8.11.14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8.11.15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437639" w:rsidRPr="000740A9" w:rsidRDefault="00437639" w:rsidP="009D10CC">
            <w:pPr>
              <w:tabs>
                <w:tab w:val="left" w:pos="632"/>
              </w:tabs>
              <w:spacing w:after="0" w:line="240" w:lineRule="auto"/>
              <w:ind w:firstLine="170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8.11.16 </w:t>
            </w:r>
            <w:r w:rsidRPr="000740A9">
              <w:rPr>
                <w:rFonts w:ascii="Times New Roman" w:hAnsi="Times New Roman"/>
                <w:i/>
                <w:sz w:val="24"/>
                <w:szCs w:val="24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.1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.2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.3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.4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Осуществлять самостоятельную информационно-познавательную деятельность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.5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Владеть навыками получения необходимой информации из словарей разных типов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07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.6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Уметь ориентироваться в различных источниках информации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>10.1</w:t>
            </w:r>
            <w:proofErr w:type="gramStart"/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>11</w:t>
            </w:r>
            <w:proofErr w:type="gramStart"/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proofErr w:type="gramEnd"/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437639" w:rsidRPr="000740A9" w:rsidTr="009D10CC">
        <w:trPr>
          <w:trHeight w:val="20"/>
        </w:trPr>
        <w:tc>
          <w:tcPr>
            <w:tcW w:w="98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 xml:space="preserve">12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12.1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 xml:space="preserve">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12.2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 xml:space="preserve">читывать позиции других участников деятельности 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12.3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 xml:space="preserve">аходить и приводить критические аргументы в отношении действий и суждений другого 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12.4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12.5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12.6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оординировать и выполнять работу в условиях реального, виртуального и комбинированного взаимодействия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12.7</w:t>
            </w:r>
            <w:proofErr w:type="gramStart"/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740A9">
              <w:rPr>
                <w:rFonts w:ascii="Times New Roman" w:hAnsi="Times New Roman"/>
                <w:sz w:val="24"/>
                <w:szCs w:val="24"/>
              </w:rPr>
              <w:t>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12.8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</w:t>
            </w:r>
          </w:p>
        </w:tc>
      </w:tr>
      <w:tr w:rsidR="00437639" w:rsidRPr="000740A9" w:rsidTr="009D10CC">
        <w:trPr>
          <w:trHeight w:val="20"/>
        </w:trPr>
        <w:tc>
          <w:tcPr>
            <w:tcW w:w="1896" w:type="dxa"/>
            <w:shd w:val="clear" w:color="auto" w:fill="auto"/>
          </w:tcPr>
          <w:p w:rsidR="00437639" w:rsidRPr="000740A9" w:rsidRDefault="00437639" w:rsidP="009D10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0740A9">
              <w:rPr>
                <w:rFonts w:ascii="Times New Roman" w:eastAsia="Calibri" w:hAnsi="Times New Roman"/>
                <w:b/>
                <w:i/>
                <w:sz w:val="24"/>
                <w:szCs w:val="24"/>
                <w:vertAlign w:val="subscript"/>
              </w:rPr>
              <w:t xml:space="preserve">13 </w:t>
            </w:r>
            <w:r w:rsidRPr="000740A9">
              <w:rPr>
                <w:rFonts w:ascii="Times New Roman" w:eastAsia="Calibri" w:hAnsi="Times New Roman"/>
                <w:sz w:val="24"/>
                <w:szCs w:val="24"/>
              </w:rPr>
              <w:t>Коммуникация</w:t>
            </w:r>
          </w:p>
        </w:tc>
        <w:tc>
          <w:tcPr>
            <w:tcW w:w="7993" w:type="dxa"/>
            <w:tcBorders>
              <w:right w:val="single" w:sz="4" w:space="0" w:color="auto"/>
            </w:tcBorders>
            <w:shd w:val="clear" w:color="auto" w:fill="auto"/>
          </w:tcPr>
          <w:p w:rsidR="00437639" w:rsidRPr="000740A9" w:rsidRDefault="00437639" w:rsidP="009D10CC">
            <w:pPr>
              <w:tabs>
                <w:tab w:val="left" w:pos="485"/>
              </w:tabs>
              <w:spacing w:after="0" w:line="240" w:lineRule="auto"/>
              <w:ind w:firstLine="21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40A9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0740A9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13.1 </w:t>
            </w:r>
            <w:r w:rsidRPr="000740A9">
              <w:rPr>
                <w:rFonts w:ascii="Times New Roman" w:hAnsi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</w:tr>
    </w:tbl>
    <w:p w:rsidR="00437639" w:rsidRDefault="00437639" w:rsidP="00437639">
      <w:pPr>
        <w:pStyle w:val="a6"/>
        <w:spacing w:before="1"/>
        <w:ind w:right="1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639" w:rsidRPr="008E4E0B" w:rsidRDefault="00437639" w:rsidP="00437639">
      <w:pPr>
        <w:pStyle w:val="a6"/>
        <w:spacing w:before="1"/>
        <w:ind w:right="176"/>
        <w:jc w:val="both"/>
        <w:rPr>
          <w:rFonts w:ascii="Times New Roman" w:hAnsi="Times New Roman" w:cs="Times New Roman"/>
          <w:sz w:val="24"/>
          <w:szCs w:val="24"/>
        </w:rPr>
      </w:pPr>
      <w:r w:rsidRPr="00437639">
        <w:rPr>
          <w:rFonts w:ascii="Times New Roman" w:hAnsi="Times New Roman" w:cs="Times New Roman"/>
          <w:b/>
          <w:sz w:val="24"/>
          <w:szCs w:val="24"/>
        </w:rPr>
        <w:t>2.3 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отражать:</w:t>
      </w:r>
    </w:p>
    <w:p w:rsidR="00437639" w:rsidRPr="00437639" w:rsidRDefault="00437639" w:rsidP="00437639">
      <w:pPr>
        <w:widowControl w:val="0"/>
        <w:tabs>
          <w:tab w:val="left" w:pos="1063"/>
        </w:tabs>
        <w:autoSpaceDE w:val="0"/>
        <w:autoSpaceDN w:val="0"/>
        <w:spacing w:after="0" w:line="240" w:lineRule="auto"/>
        <w:ind w:right="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37639">
        <w:rPr>
          <w:rFonts w:ascii="Times New Roman" w:hAnsi="Times New Roman"/>
          <w:sz w:val="24"/>
          <w:szCs w:val="24"/>
        </w:rPr>
        <w:t>понимание роли и места современной географической науки в системе научных дисциплин, её участии в решении важнейших проблем человечества: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наук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достижении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целей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устойчивого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развития;</w:t>
      </w:r>
    </w:p>
    <w:p w:rsidR="00437639" w:rsidRPr="008E4E0B" w:rsidRDefault="00437639" w:rsidP="00437639">
      <w:pPr>
        <w:widowControl w:val="0"/>
        <w:tabs>
          <w:tab w:val="left" w:pos="1063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37639">
        <w:rPr>
          <w:rFonts w:ascii="Times New Roman" w:hAnsi="Times New Roman"/>
          <w:sz w:val="24"/>
          <w:szCs w:val="24"/>
        </w:rPr>
        <w:t>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описывать     положение     и     взаиморасположение     регионов     и     стран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пространстве,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природно-ресурсного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капитала,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регионов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стран;</w:t>
      </w:r>
    </w:p>
    <w:p w:rsidR="00437639" w:rsidRPr="008E4E0B" w:rsidRDefault="00437639" w:rsidP="00437639">
      <w:pPr>
        <w:widowControl w:val="0"/>
        <w:tabs>
          <w:tab w:val="left" w:pos="1063"/>
        </w:tabs>
        <w:autoSpaceDE w:val="0"/>
        <w:autoSpaceDN w:val="0"/>
        <w:spacing w:before="10"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3763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комплексных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социально</w:t>
      </w:r>
      <w:r>
        <w:rPr>
          <w:rFonts w:ascii="Times New Roman" w:hAnsi="Times New Roman"/>
          <w:sz w:val="24"/>
          <w:szCs w:val="24"/>
        </w:rPr>
        <w:t>-</w:t>
      </w:r>
      <w:r w:rsidRPr="00437639">
        <w:rPr>
          <w:rFonts w:ascii="Times New Roman" w:hAnsi="Times New Roman"/>
          <w:sz w:val="24"/>
          <w:szCs w:val="24"/>
        </w:rPr>
        <w:t>ориентированных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знаний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закономерностях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природы,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размещения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хозяйства: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распознавать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проявления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процессов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воспроизводства,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миграции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урбанизации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регионах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мира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изученных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странах;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использовать  знания  об  основных    географических    закономерностях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определения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факторов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международной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специализации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стран;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сравнения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регионов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стран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уровню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развития,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специализации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стран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месту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E0B">
        <w:rPr>
          <w:rFonts w:ascii="Times New Roman" w:hAnsi="Times New Roman" w:cs="Times New Roman"/>
          <w:sz w:val="24"/>
          <w:szCs w:val="24"/>
        </w:rPr>
        <w:t>международном   ге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E4E0B">
        <w:rPr>
          <w:rFonts w:ascii="Times New Roman" w:hAnsi="Times New Roman" w:cs="Times New Roman"/>
          <w:sz w:val="24"/>
          <w:szCs w:val="24"/>
        </w:rPr>
        <w:t>графическом   разделении   труда;</w:t>
      </w:r>
    </w:p>
    <w:p w:rsidR="00437639" w:rsidRPr="00437639" w:rsidRDefault="00437639" w:rsidP="00437639">
      <w:pPr>
        <w:widowControl w:val="0"/>
        <w:tabs>
          <w:tab w:val="left" w:pos="1063"/>
        </w:tabs>
        <w:autoSpaceDE w:val="0"/>
        <w:autoSpaceDN w:val="0"/>
        <w:spacing w:before="9"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4. </w:t>
      </w:r>
      <w:r w:rsidRPr="00437639">
        <w:rPr>
          <w:rFonts w:ascii="Times New Roman" w:hAnsi="Times New Roman"/>
          <w:sz w:val="24"/>
          <w:szCs w:val="24"/>
        </w:rPr>
        <w:t>владение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терминологией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системой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базовых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понятий: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применять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изученные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социально-экономические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понятия: политическая карта, государство; политико-географическое положение,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монархия,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республика,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унитарное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государство,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федеративное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государство;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воспроизводство 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демографический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взрыв,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демографический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кризис,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старение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состав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структура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экономически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активное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человеческого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(ИЧР),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народ,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этнос,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плотность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миграции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расселение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 xml:space="preserve">демографическая политика, </w:t>
      </w:r>
      <w:proofErr w:type="spellStart"/>
      <w:r w:rsidRPr="00437639">
        <w:rPr>
          <w:rFonts w:ascii="Times New Roman" w:hAnsi="Times New Roman"/>
          <w:sz w:val="24"/>
          <w:szCs w:val="24"/>
        </w:rPr>
        <w:t>субурбанизация</w:t>
      </w:r>
      <w:proofErr w:type="spellEnd"/>
      <w:r w:rsidRPr="00437639">
        <w:rPr>
          <w:rFonts w:ascii="Times New Roman" w:hAnsi="Times New Roman"/>
          <w:sz w:val="24"/>
          <w:szCs w:val="24"/>
        </w:rPr>
        <w:t>, ложная урбанизация;</w:t>
      </w:r>
      <w:proofErr w:type="gramEnd"/>
      <w:r w:rsidRPr="00437639">
        <w:rPr>
          <w:rFonts w:ascii="Times New Roman" w:hAnsi="Times New Roman"/>
          <w:sz w:val="24"/>
          <w:szCs w:val="24"/>
        </w:rPr>
        <w:t xml:space="preserve"> мегалополисы,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развитые и развивающиеся, новые индустриальные, нефтедобывающие страны;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7639">
        <w:rPr>
          <w:rFonts w:ascii="Times New Roman" w:hAnsi="Times New Roman"/>
          <w:sz w:val="24"/>
          <w:szCs w:val="24"/>
        </w:rPr>
        <w:lastRenderedPageBreak/>
        <w:t>ресурсообеспеченность</w:t>
      </w:r>
      <w:proofErr w:type="spellEnd"/>
      <w:r w:rsidRPr="004376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мировое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хозяйство,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международная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экономическая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интеграция;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международная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хозяйственная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специализация,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международное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разделение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труда;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отраслевая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территориальная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структура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мирового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хозяйства;</w:t>
      </w:r>
    </w:p>
    <w:p w:rsidR="00437639" w:rsidRPr="00437639" w:rsidRDefault="00437639" w:rsidP="00437639">
      <w:pPr>
        <w:widowControl w:val="0"/>
        <w:tabs>
          <w:tab w:val="left" w:pos="1063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437639">
        <w:rPr>
          <w:rFonts w:ascii="Times New Roman" w:hAnsi="Times New Roman"/>
          <w:sz w:val="24"/>
          <w:szCs w:val="24"/>
        </w:rPr>
        <w:t>сформированность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умений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проводить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отдельными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географическими  объектами,    процессами    и    явлениями,    их    изменениями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 xml:space="preserve">в результате воздействия природных и антропогенных факторов: определять </w:t>
      </w:r>
      <w:r>
        <w:rPr>
          <w:rFonts w:ascii="Times New Roman" w:hAnsi="Times New Roman"/>
          <w:sz w:val="24"/>
          <w:szCs w:val="24"/>
        </w:rPr>
        <w:t xml:space="preserve">цели </w:t>
      </w:r>
      <w:r w:rsidRPr="00437639">
        <w:rPr>
          <w:rFonts w:ascii="Times New Roman" w:hAnsi="Times New Roman"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437639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(исследования);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выбирать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форму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фиксации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(исследования);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формулировать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обобщения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выводы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результатам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наблюдения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(исследования);</w:t>
      </w:r>
    </w:p>
    <w:p w:rsidR="00437639" w:rsidRPr="00437639" w:rsidRDefault="00437639" w:rsidP="00437639">
      <w:pPr>
        <w:widowControl w:val="0"/>
        <w:tabs>
          <w:tab w:val="left" w:pos="1004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437639">
        <w:rPr>
          <w:rFonts w:ascii="Times New Roman" w:hAnsi="Times New Roman"/>
          <w:sz w:val="24"/>
          <w:szCs w:val="24"/>
        </w:rPr>
        <w:t>сформированность умений находить и использовать различные источники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географической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информации  для  получения  новых  знаний  о  природных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 социально-экономических процессах и явлениях, выявления закономерностей и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тенденций их развития,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прогнозирования: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выбирать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 использовать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источники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географической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информации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(картографические,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статистические,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текстовые,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видео-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и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фотоизображения,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7639">
        <w:rPr>
          <w:rFonts w:ascii="Times New Roman" w:hAnsi="Times New Roman"/>
          <w:sz w:val="24"/>
          <w:szCs w:val="24"/>
        </w:rPr>
        <w:t>геоинформационные</w:t>
      </w:r>
      <w:proofErr w:type="spellEnd"/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системы),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соответствующие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решаемым</w:t>
      </w:r>
      <w:r w:rsidR="003F28FC">
        <w:rPr>
          <w:rFonts w:ascii="Times New Roman" w:hAnsi="Times New Roman"/>
          <w:sz w:val="24"/>
          <w:szCs w:val="24"/>
        </w:rPr>
        <w:t xml:space="preserve"> </w:t>
      </w:r>
      <w:r w:rsidRPr="00437639">
        <w:rPr>
          <w:rFonts w:ascii="Times New Roman" w:hAnsi="Times New Roman"/>
          <w:sz w:val="24"/>
          <w:szCs w:val="24"/>
        </w:rPr>
        <w:t>задачам;</w:t>
      </w:r>
    </w:p>
    <w:p w:rsidR="00437639" w:rsidRPr="008E4E0B" w:rsidRDefault="003F28FC" w:rsidP="00437639">
      <w:pPr>
        <w:pStyle w:val="a6"/>
        <w:ind w:right="1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437639" w:rsidRPr="008E4E0B">
        <w:rPr>
          <w:rFonts w:ascii="Times New Roman" w:hAnsi="Times New Roman" w:cs="Times New Roman"/>
          <w:sz w:val="24"/>
          <w:szCs w:val="24"/>
        </w:rPr>
        <w:t>сопоставлять и анализировать географические карты различной тематики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другие источники географической информации для выявления закономерностей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социально-экономических,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природных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экологических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процессов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явлений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регионов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стран;</w:t>
      </w:r>
    </w:p>
    <w:p w:rsidR="00437639" w:rsidRPr="008E4E0B" w:rsidRDefault="003F28FC" w:rsidP="00437639">
      <w:pPr>
        <w:pStyle w:val="a6"/>
        <w:ind w:right="1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37639" w:rsidRPr="008E4E0B">
        <w:rPr>
          <w:rFonts w:ascii="Times New Roman" w:hAnsi="Times New Roman" w:cs="Times New Roman"/>
          <w:sz w:val="24"/>
          <w:szCs w:val="24"/>
        </w:rPr>
        <w:t>определять и сравнивать по географическим картам разного содержания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другим источникам географической информации качественные и количественные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pacing w:val="-1"/>
          <w:sz w:val="24"/>
          <w:szCs w:val="24"/>
        </w:rPr>
        <w:t>показатели,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pacing w:val="-1"/>
          <w:sz w:val="24"/>
          <w:szCs w:val="24"/>
        </w:rPr>
        <w:t>характеризующие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регионы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страны,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географические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процессы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явления,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происходящие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них;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географические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факторы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международной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специализации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стран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географической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информации;</w:t>
      </w:r>
    </w:p>
    <w:p w:rsidR="00437639" w:rsidRPr="008E4E0B" w:rsidRDefault="003F28FC" w:rsidP="00437639">
      <w:pPr>
        <w:pStyle w:val="a6"/>
        <w:spacing w:before="2"/>
        <w:ind w:right="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437639" w:rsidRPr="008E4E0B"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находить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комплексе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недостоверную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противоречивую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географическую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регионах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мира   и   странах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для решения учебных и (или) практико-ориентированных задач;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находить,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отбирать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различные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методы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познания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практико-ориентированных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639" w:rsidRPr="008E4E0B">
        <w:rPr>
          <w:rFonts w:ascii="Times New Roman" w:hAnsi="Times New Roman" w:cs="Times New Roman"/>
          <w:sz w:val="24"/>
          <w:szCs w:val="24"/>
        </w:rPr>
        <w:t>задач;</w:t>
      </w:r>
    </w:p>
    <w:p w:rsidR="00437639" w:rsidRPr="003F28FC" w:rsidRDefault="003F28FC" w:rsidP="003F28FC">
      <w:pPr>
        <w:widowControl w:val="0"/>
        <w:tabs>
          <w:tab w:val="left" w:pos="983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10. </w:t>
      </w:r>
      <w:r w:rsidR="00437639" w:rsidRPr="003F28FC">
        <w:rPr>
          <w:rFonts w:ascii="Times New Roman" w:hAnsi="Times New Roman"/>
          <w:sz w:val="24"/>
          <w:szCs w:val="24"/>
        </w:rPr>
        <w:t>владение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умениями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географического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анализа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интерпретации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из различных источников: находить, отбирать, систематизировать информацию,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необходимую для изучения регионов мира и стран (в том числе и России), 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обеспеченности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природными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человеческими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ресурсами;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изучения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хозяйственного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потенциала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стран,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глобальных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проблем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человечества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проявления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z w:val="24"/>
          <w:szCs w:val="24"/>
        </w:rPr>
        <w:t xml:space="preserve"> </w:t>
      </w:r>
      <w:r w:rsidR="00437639" w:rsidRPr="003F28F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России).</w:t>
      </w:r>
      <w:proofErr w:type="gramEnd"/>
    </w:p>
    <w:p w:rsidR="00437639" w:rsidRDefault="00437639" w:rsidP="00437639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3. Тематическое планирование</w:t>
      </w:r>
    </w:p>
    <w:p w:rsidR="00437639" w:rsidRPr="001C6CC2" w:rsidRDefault="00437639" w:rsidP="00437639">
      <w:pPr>
        <w:tabs>
          <w:tab w:val="left" w:pos="15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7367"/>
        <w:gridCol w:w="1134"/>
      </w:tblGrid>
      <w:tr w:rsidR="00437639" w:rsidRPr="001C6CC2" w:rsidTr="009D10CC">
        <w:trPr>
          <w:trHeight w:val="447"/>
        </w:trPr>
        <w:tc>
          <w:tcPr>
            <w:tcW w:w="600" w:type="dxa"/>
            <w:vAlign w:val="center"/>
          </w:tcPr>
          <w:p w:rsidR="00437639" w:rsidRPr="001B2B51" w:rsidRDefault="00437639" w:rsidP="009D10CC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1B2B51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B2B51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1B2B51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1B2B51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367" w:type="dxa"/>
            <w:shd w:val="clear" w:color="auto" w:fill="auto"/>
            <w:vAlign w:val="center"/>
          </w:tcPr>
          <w:p w:rsidR="00437639" w:rsidRPr="001B2B51" w:rsidRDefault="00437639" w:rsidP="009D10CC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1B2B51">
              <w:rPr>
                <w:b/>
                <w:color w:val="000000"/>
                <w:sz w:val="22"/>
                <w:szCs w:val="22"/>
              </w:rPr>
              <w:t>Раздел, тема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7639" w:rsidRPr="001B2B51" w:rsidRDefault="00437639" w:rsidP="009D10CC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1B2B51">
              <w:rPr>
                <w:b/>
                <w:color w:val="000000"/>
                <w:sz w:val="22"/>
                <w:szCs w:val="22"/>
              </w:rPr>
              <w:t>Кол-во часов</w:t>
            </w:r>
          </w:p>
        </w:tc>
      </w:tr>
      <w:tr w:rsidR="00437639" w:rsidRPr="001C6CC2" w:rsidTr="009D10CC">
        <w:trPr>
          <w:trHeight w:val="230"/>
        </w:trPr>
        <w:tc>
          <w:tcPr>
            <w:tcW w:w="9101" w:type="dxa"/>
            <w:gridSpan w:val="3"/>
          </w:tcPr>
          <w:p w:rsidR="00437639" w:rsidRPr="00E40359" w:rsidRDefault="00437639" w:rsidP="009D10CC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E40359">
              <w:rPr>
                <w:b/>
                <w:color w:val="000000"/>
                <w:sz w:val="22"/>
                <w:szCs w:val="22"/>
              </w:rPr>
              <w:t>11 класс</w:t>
            </w:r>
          </w:p>
        </w:tc>
      </w:tr>
      <w:tr w:rsidR="00437639" w:rsidRPr="001C6CC2" w:rsidTr="009D10CC">
        <w:trPr>
          <w:trHeight w:val="230"/>
        </w:trPr>
        <w:tc>
          <w:tcPr>
            <w:tcW w:w="600" w:type="dxa"/>
          </w:tcPr>
          <w:p w:rsidR="00437639" w:rsidRDefault="00437639" w:rsidP="009D10CC">
            <w:pPr>
              <w:pStyle w:val="a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367" w:type="dxa"/>
          </w:tcPr>
          <w:p w:rsidR="00437639" w:rsidRPr="00E40359" w:rsidRDefault="00437639" w:rsidP="009D10CC">
            <w:pPr>
              <w:pStyle w:val="a3"/>
              <w:rPr>
                <w:color w:val="000000"/>
                <w:sz w:val="22"/>
                <w:szCs w:val="22"/>
              </w:rPr>
            </w:pPr>
            <w:r w:rsidRPr="00F329D0">
              <w:t>География городов </w:t>
            </w:r>
          </w:p>
        </w:tc>
        <w:tc>
          <w:tcPr>
            <w:tcW w:w="1134" w:type="dxa"/>
            <w:shd w:val="clear" w:color="auto" w:fill="auto"/>
          </w:tcPr>
          <w:p w:rsidR="00437639" w:rsidRPr="001C6CC2" w:rsidRDefault="00437639" w:rsidP="009D10CC">
            <w:pPr>
              <w:pStyle w:val="a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437639" w:rsidRPr="001C6CC2" w:rsidTr="009D10CC">
        <w:trPr>
          <w:trHeight w:val="230"/>
        </w:trPr>
        <w:tc>
          <w:tcPr>
            <w:tcW w:w="600" w:type="dxa"/>
          </w:tcPr>
          <w:p w:rsidR="00437639" w:rsidRDefault="00437639" w:rsidP="009D10CC">
            <w:pPr>
              <w:pStyle w:val="a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367" w:type="dxa"/>
          </w:tcPr>
          <w:p w:rsidR="00437639" w:rsidRPr="00E40359" w:rsidRDefault="00437639" w:rsidP="009D10CC">
            <w:pPr>
              <w:pStyle w:val="a3"/>
              <w:rPr>
                <w:color w:val="000000"/>
                <w:sz w:val="22"/>
                <w:szCs w:val="22"/>
              </w:rPr>
            </w:pPr>
            <w:r w:rsidRPr="00F329D0">
              <w:t>География мирового хозяйства </w:t>
            </w:r>
          </w:p>
        </w:tc>
        <w:tc>
          <w:tcPr>
            <w:tcW w:w="1134" w:type="dxa"/>
            <w:shd w:val="clear" w:color="auto" w:fill="auto"/>
          </w:tcPr>
          <w:p w:rsidR="00437639" w:rsidRPr="001C6CC2" w:rsidRDefault="00437639" w:rsidP="009D10CC">
            <w:pPr>
              <w:pStyle w:val="a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437639" w:rsidRPr="001C6CC2" w:rsidTr="009D10CC">
        <w:trPr>
          <w:trHeight w:val="230"/>
        </w:trPr>
        <w:tc>
          <w:tcPr>
            <w:tcW w:w="600" w:type="dxa"/>
          </w:tcPr>
          <w:p w:rsidR="00437639" w:rsidRDefault="00437639" w:rsidP="009D10CC">
            <w:pPr>
              <w:pStyle w:val="a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367" w:type="dxa"/>
          </w:tcPr>
          <w:p w:rsidR="00437639" w:rsidRPr="00E40359" w:rsidRDefault="00437639" w:rsidP="009D10CC">
            <w:pPr>
              <w:pStyle w:val="a3"/>
              <w:rPr>
                <w:color w:val="000000"/>
                <w:sz w:val="22"/>
                <w:szCs w:val="22"/>
              </w:rPr>
            </w:pPr>
            <w:r w:rsidRPr="00F329D0">
              <w:t>Территориальные закономерности экономического и политического развития </w:t>
            </w:r>
          </w:p>
        </w:tc>
        <w:tc>
          <w:tcPr>
            <w:tcW w:w="1134" w:type="dxa"/>
            <w:shd w:val="clear" w:color="auto" w:fill="auto"/>
          </w:tcPr>
          <w:p w:rsidR="00437639" w:rsidRPr="001C6CC2" w:rsidRDefault="00437639" w:rsidP="009D10CC">
            <w:pPr>
              <w:pStyle w:val="a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437639" w:rsidRPr="001C6CC2" w:rsidTr="009D10CC">
        <w:trPr>
          <w:trHeight w:val="230"/>
        </w:trPr>
        <w:tc>
          <w:tcPr>
            <w:tcW w:w="600" w:type="dxa"/>
          </w:tcPr>
          <w:p w:rsidR="00437639" w:rsidRDefault="00437639" w:rsidP="009D10CC">
            <w:pPr>
              <w:pStyle w:val="a3"/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67" w:type="dxa"/>
          </w:tcPr>
          <w:p w:rsidR="00437639" w:rsidRPr="00E40359" w:rsidRDefault="00437639" w:rsidP="009D10CC">
            <w:pPr>
              <w:pStyle w:val="a3"/>
              <w:jc w:val="right"/>
              <w:rPr>
                <w:b/>
                <w:color w:val="000000"/>
                <w:sz w:val="22"/>
                <w:szCs w:val="22"/>
              </w:rPr>
            </w:pPr>
            <w:r w:rsidRPr="00E40359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37639" w:rsidRPr="00E40359" w:rsidRDefault="00437639" w:rsidP="009D10CC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E40359">
              <w:rPr>
                <w:b/>
                <w:color w:val="000000"/>
                <w:sz w:val="22"/>
                <w:szCs w:val="22"/>
              </w:rPr>
              <w:t>34</w:t>
            </w:r>
          </w:p>
        </w:tc>
      </w:tr>
    </w:tbl>
    <w:p w:rsidR="00FF20F4" w:rsidRDefault="00FF20F4"/>
    <w:sectPr w:rsidR="00FF20F4" w:rsidSect="00FF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6FAD"/>
    <w:multiLevelType w:val="hybridMultilevel"/>
    <w:tmpl w:val="F02C8054"/>
    <w:lvl w:ilvl="0" w:tplc="F580B780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4F40598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FD9608D4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2D10207C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982E93F0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CEA64E7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FF481F06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6D50EF04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111E0EEC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639"/>
    <w:rsid w:val="00012153"/>
    <w:rsid w:val="001168F8"/>
    <w:rsid w:val="001B4EA0"/>
    <w:rsid w:val="003F28FC"/>
    <w:rsid w:val="00437639"/>
    <w:rsid w:val="00463DF0"/>
    <w:rsid w:val="006713CC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ITL List Paragraph,Цветной список - Акцент 13,Нумерованый список,List Paragraph1"/>
    <w:basedOn w:val="a"/>
    <w:link w:val="a5"/>
    <w:uiPriority w:val="1"/>
    <w:qFormat/>
    <w:rsid w:val="0043763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iPriority w:val="1"/>
    <w:unhideWhenUsed/>
    <w:qFormat/>
    <w:rsid w:val="00437639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qFormat/>
    <w:rsid w:val="00437639"/>
    <w:rPr>
      <w:rFonts w:ascii="Bookman Old Style" w:eastAsia="Bookman Old Style" w:hAnsi="Bookman Old Style" w:cs="Bookman Old Style"/>
      <w:sz w:val="21"/>
      <w:szCs w:val="21"/>
      <w:lang w:eastAsia="ru-RU" w:bidi="ru-RU"/>
    </w:rPr>
  </w:style>
  <w:style w:type="character" w:customStyle="1" w:styleId="a5">
    <w:name w:val="Абзац списка Знак"/>
    <w:aliases w:val="ITL List Paragraph Знак,Цветной список - Акцент 13 Знак,Нумерованый список Знак,List Paragraph1 Знак"/>
    <w:link w:val="a4"/>
    <w:uiPriority w:val="1"/>
    <w:qFormat/>
    <w:locked/>
    <w:rsid w:val="0043763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05857-A747-4E15-8125-2F906D5F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2540</Words>
  <Characters>14478</Characters>
  <Application>Microsoft Office Word</Application>
  <DocSecurity>0</DocSecurity>
  <Lines>120</Lines>
  <Paragraphs>33</Paragraphs>
  <ScaleCrop>false</ScaleCrop>
  <Company/>
  <LinksUpToDate>false</LinksUpToDate>
  <CharactersWithSpaces>16985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2023-09-25T03:29:00Z</dcterms:created>
  <dcterms:modified xsi:type="dcterms:W3CDTF">2023-09-25T03:29:00Z</dcterms:modified>
</cp:coreProperties>
</file>